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escalabilidade,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viéses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determinam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Modificações foram feitas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úmidade,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dado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orietanção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r>
        <w:t xml:space="preserve">(</w:t>
      </w:r>
      <w:r>
        <w:rPr>
          <w:bCs/>
          <w:b/>
        </w:rPr>
        <w:t xml:space="preserve">fig2?</w:t>
      </w:r>
      <w:r>
        <w:t xml:space="preserve">)</w:t>
      </w:r>
      <w:r>
        <w:t xml:space="preserve">). A classe do índices de umidade foi multipĺicado por 1000, orientação do relevo por 100, TPI por 10 e declividade do relevo por 1. Por exemplo, o código 11 (0011) representa a primeira classe de declividade (áreas de baixa declividade) e a primeira classe de TPI (posição do relevo mais alta que o entorno), sendo portanto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bookmarkStart w:id="33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3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4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4"/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2"/>
          <w:p>
            <w:pPr>
              <w:jc w:val="center"/>
            </w:pPr>
            <w:r>
              <w:drawing>
                <wp:inline>
                  <wp:extent cx="3810000" cy="379476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79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Figura 2 - Tipos de formas de relevo</w:t>
            </w:r>
          </w:p>
          <w:bookmarkEnd w:id="38"/>
        </w:tc>
      </w:tr>
    </w:tbl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projetamos o mapa de áreas úmidas para a mesma resolução das outras variáveis. Depois, calculamos o índice de áreas úmidas considerando a densidade de áreas úmidas na escala local (450 metros) e na escala regional (1170 metros). Também foi incluído no índice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2023-09-25T15:21:02Z</dcterms:created>
  <dcterms:modified xsi:type="dcterms:W3CDTF">2023-09-25T15:21:02Z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